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2A6B" w14:textId="77777777" w:rsidR="00DD30A8" w:rsidRPr="00BC4BDC" w:rsidRDefault="00DD30A8" w:rsidP="00FA63C7">
      <w:pPr>
        <w:spacing w:line="240" w:lineRule="auto"/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</w:pPr>
    </w:p>
    <w:p w14:paraId="517CE725" w14:textId="2A3B849A" w:rsidR="00DC0645" w:rsidRDefault="00BC4BDC" w:rsidP="00BC2A87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  <w:r w:rsidRPr="00BC4BDC">
        <w:rPr>
          <w:rFonts w:asciiTheme="majorHAnsi" w:hAnsiTheme="majorHAnsi" w:cstheme="majorHAnsi"/>
          <w:b/>
          <w:bCs/>
          <w:color w:val="1F497D" w:themeColor="text2"/>
        </w:rPr>
        <w:t>ОПРОСНЫЙ ЛИСТ на ПКУ-6 (10)</w:t>
      </w:r>
    </w:p>
    <w:p w14:paraId="485ACEFA" w14:textId="77777777" w:rsidR="00BC4BDC" w:rsidRDefault="00BC4BDC" w:rsidP="00BC2A87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6"/>
        <w:gridCol w:w="1595"/>
        <w:gridCol w:w="594"/>
        <w:gridCol w:w="111"/>
        <w:gridCol w:w="111"/>
        <w:gridCol w:w="111"/>
        <w:gridCol w:w="111"/>
        <w:gridCol w:w="594"/>
        <w:gridCol w:w="594"/>
        <w:gridCol w:w="111"/>
        <w:gridCol w:w="111"/>
        <w:gridCol w:w="138"/>
        <w:gridCol w:w="84"/>
        <w:gridCol w:w="112"/>
        <w:gridCol w:w="110"/>
        <w:gridCol w:w="111"/>
        <w:gridCol w:w="111"/>
        <w:gridCol w:w="269"/>
      </w:tblGrid>
      <w:tr w:rsidR="00BC4BDC" w:rsidRPr="00BC4BDC" w14:paraId="74AF860A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3055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Запрашиваемые данные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FB68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Ответы заказчика</w:t>
            </w:r>
          </w:p>
        </w:tc>
      </w:tr>
      <w:tr w:rsidR="00BC4BDC" w:rsidRPr="00BC4BDC" w14:paraId="765FAA41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35DB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Класс напряжения, </w:t>
            </w:r>
            <w:proofErr w:type="spellStart"/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CEBA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89F0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4982387C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794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Наибольшее рабочее напряжение, </w:t>
            </w:r>
            <w:proofErr w:type="spellStart"/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31DA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41A38E39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C10B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Схема подключения трансформаторов тока (ТТ) и трансформаторов напряжения (ТН)</w:t>
            </w:r>
          </w:p>
        </w:tc>
      </w:tr>
      <w:tr w:rsidR="00BC4BDC" w:rsidRPr="00BC4BDC" w14:paraId="143D6675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08A2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3ТН и 3ТТ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0637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три корпуса из композитного материала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643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23E7EC70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585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3ТН и 2ТТ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DB06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три корпуса из композитного материала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5CF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7AFD4F69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387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2ТН и 2ТТ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F469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один металлический корпус</w:t>
            </w:r>
          </w:p>
        </w:tc>
      </w:tr>
      <w:tr w:rsidR="00BC4BDC" w:rsidRPr="00BC4BDC" w14:paraId="5C61D783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653B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1ТН (НАЛИ-СЭЩ-6(10)) и 2 ТТ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6C77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один металлический корпус</w:t>
            </w:r>
          </w:p>
        </w:tc>
      </w:tr>
      <w:tr w:rsidR="00BC4BDC" w:rsidRPr="00BC4BDC" w14:paraId="5EC51E07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A4F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1ТН (НАЛИ-СЭЩ-6(10)) и 3 ТТ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728A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один металлический корпус</w:t>
            </w:r>
          </w:p>
        </w:tc>
      </w:tr>
      <w:tr w:rsidR="00BC4BDC" w:rsidRPr="00BC4BDC" w14:paraId="54A075F5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E329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Крепление ПКУ</w:t>
            </w:r>
          </w:p>
        </w:tc>
      </w:tr>
      <w:tr w:rsidR="00BC4BDC" w:rsidRPr="00BC4BDC" w14:paraId="3D2358E1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1E9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На опоре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0729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опоры</w:t>
            </w:r>
          </w:p>
        </w:tc>
      </w:tr>
      <w:tr w:rsidR="00BC4BDC" w:rsidRPr="00BC4BDC" w14:paraId="3B118812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974B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Другой способ крепления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CCC6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05BE210E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E099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Трансформатор напряжения (ТН) (со встроенным предохранительным устройством)</w:t>
            </w:r>
          </w:p>
        </w:tc>
      </w:tr>
      <w:tr w:rsidR="00BC4BDC" w:rsidRPr="00BC4BDC" w14:paraId="59024B06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D6E6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Номинальное напряжение первичной обмотки, </w:t>
            </w:r>
            <w:proofErr w:type="spellStart"/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13F7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6/√3</w:t>
            </w: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DBF79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6F81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8D18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946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269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0E6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7B347BF3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1B91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Класс точности вторичной обмотки для измерения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6338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0,2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112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52DFFF84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0C5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Автоматический защитный выключатель во вторичной цепи ТН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4BFE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есть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FA94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04130320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A5F9D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Трансформаторы тока (ТТ)</w:t>
            </w:r>
          </w:p>
        </w:tc>
      </w:tr>
      <w:tr w:rsidR="00BC4BDC" w:rsidRPr="00BC4BDC" w14:paraId="54F9208D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841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 xml:space="preserve">Номинальный первичный ток, </w:t>
            </w:r>
            <w:proofErr w:type="gramStart"/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5427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538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498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473D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B36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FBE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3D5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EE3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1D6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C4F4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7CC4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0519CB82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A7A6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Класс точности вторичной обмотки для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70C3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0,2</w:t>
            </w:r>
          </w:p>
        </w:tc>
        <w:tc>
          <w:tcPr>
            <w:tcW w:w="0" w:type="auto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9A3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24B8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8088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32631534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F57F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Наличие учета электроэнергии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D69D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17D5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63CB62EA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4907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Разъединитель</w:t>
            </w:r>
          </w:p>
        </w:tc>
      </w:tr>
      <w:tr w:rsidR="00BC4BDC" w:rsidRPr="00BC4BDC" w14:paraId="51DC5702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8EE4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 комплекте с устройством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792D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7D9A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10D7E623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CE4F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535D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067A59AB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48DE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Рама для установки разъединителя на опоре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B1CE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1256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7832723E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A23B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Ограничители перенапряжения нелинейные</w:t>
            </w:r>
          </w:p>
        </w:tc>
      </w:tr>
      <w:tr w:rsidR="00BC4BDC" w:rsidRPr="00BC4BDC" w14:paraId="0D882FC1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B94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В комплекте с устройством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6D5A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003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580799EA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C1E0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Количество комплектов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8225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один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A221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78E5392D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7C40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Рама для установки ограничителей перенапряжений на опоре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7FB5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4881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0ED58B49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7C05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Счетчик электроэнергии</w:t>
            </w:r>
          </w:p>
        </w:tc>
      </w:tr>
      <w:tr w:rsidR="00BC4BDC" w:rsidRPr="00BC4BDC" w14:paraId="3261B278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1D3A" w14:textId="093109A3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Тип: _</w:t>
            </w: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_________________________</w:t>
            </w:r>
          </w:p>
        </w:tc>
        <w:tc>
          <w:tcPr>
            <w:tcW w:w="0" w:type="auto"/>
            <w:gridSpan w:val="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0C43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активный</w:t>
            </w:r>
          </w:p>
        </w:tc>
        <w:tc>
          <w:tcPr>
            <w:tcW w:w="0" w:type="auto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7081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02F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137AACB3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7F48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Класс точности</w:t>
            </w:r>
          </w:p>
        </w:tc>
        <w:tc>
          <w:tcPr>
            <w:tcW w:w="0" w:type="auto"/>
            <w:gridSpan w:val="5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D742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0,2</w:t>
            </w:r>
          </w:p>
        </w:tc>
        <w:tc>
          <w:tcPr>
            <w:tcW w:w="0" w:type="auto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BA3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D05D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852BB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78C5C29A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FFD8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интерфейса</w:t>
            </w:r>
          </w:p>
        </w:tc>
        <w:tc>
          <w:tcPr>
            <w:tcW w:w="0" w:type="auto"/>
            <w:gridSpan w:val="5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2913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RS-485</w:t>
            </w:r>
          </w:p>
        </w:tc>
        <w:tc>
          <w:tcPr>
            <w:tcW w:w="0" w:type="auto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7460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62B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BAA9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3251D0C5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8CA6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Дополнительные функции 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9C23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58EC228B" w14:textId="77777777" w:rsidTr="00BC4BDC">
        <w:trPr>
          <w:trHeight w:val="20"/>
          <w:jc w:val="center"/>
        </w:trPr>
        <w:tc>
          <w:tcPr>
            <w:tcW w:w="0" w:type="auto"/>
            <w:gridSpan w:val="1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D82E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  <w:sz w:val="20"/>
                <w:szCs w:val="20"/>
              </w:rPr>
              <w:t>Способ передачи данных</w:t>
            </w:r>
          </w:p>
        </w:tc>
      </w:tr>
      <w:tr w:rsidR="00BC4BDC" w:rsidRPr="00BC4BDC" w14:paraId="2984B31B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136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Интеграция в АСКУЭ</w:t>
            </w:r>
          </w:p>
        </w:tc>
        <w:tc>
          <w:tcPr>
            <w:tcW w:w="0" w:type="auto"/>
            <w:gridSpan w:val="9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9C5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да</w:t>
            </w:r>
          </w:p>
        </w:tc>
        <w:tc>
          <w:tcPr>
            <w:tcW w:w="0" w:type="auto"/>
            <w:gridSpan w:val="8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CE5E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2CDACE72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ED2C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Тип модема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8D13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0E1B8B7D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BC43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Способ передачи данных</w:t>
            </w:r>
          </w:p>
        </w:tc>
        <w:tc>
          <w:tcPr>
            <w:tcW w:w="0" w:type="auto"/>
            <w:gridSpan w:val="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2FCE" w14:textId="77777777" w:rsidR="00BC4BDC" w:rsidRPr="00BC4BDC" w:rsidRDefault="00BC4BDC" w:rsidP="00BC4BDC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GSM</w:t>
            </w:r>
          </w:p>
        </w:tc>
        <w:tc>
          <w:tcPr>
            <w:tcW w:w="0" w:type="auto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C707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4589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  <w:tr w:rsidR="00BC4BDC" w:rsidRPr="00BC4BDC" w14:paraId="1BCC5BF8" w14:textId="77777777" w:rsidTr="00BC4BDC">
        <w:trPr>
          <w:trHeight w:val="20"/>
          <w:jc w:val="center"/>
        </w:trPr>
        <w:tc>
          <w:tcPr>
            <w:tcW w:w="0" w:type="auto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2F168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  <w:r w:rsidRPr="00BC4BDC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Примечания</w:t>
            </w:r>
          </w:p>
        </w:tc>
        <w:tc>
          <w:tcPr>
            <w:tcW w:w="0" w:type="auto"/>
            <w:gridSpan w:val="17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090F" w14:textId="77777777" w:rsidR="00BC4BDC" w:rsidRPr="00BC4BDC" w:rsidRDefault="00BC4BDC" w:rsidP="00BC4BDC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</w:pPr>
          </w:p>
        </w:tc>
      </w:tr>
    </w:tbl>
    <w:p w14:paraId="1573F1D1" w14:textId="77777777" w:rsidR="00BC4BDC" w:rsidRDefault="00BC4BDC" w:rsidP="00323D4B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</w:p>
    <w:p w14:paraId="5E55CE0A" w14:textId="51D5E30B" w:rsidR="00DC0645" w:rsidRPr="00323D4B" w:rsidRDefault="00DC0645" w:rsidP="00323D4B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  <w:r w:rsidRPr="00323D4B">
        <w:rPr>
          <w:rFonts w:asciiTheme="majorHAnsi" w:hAnsiTheme="majorHAnsi" w:cstheme="majorHAnsi"/>
          <w:b/>
          <w:bCs/>
          <w:color w:val="1F497D" w:themeColor="text2"/>
        </w:rPr>
        <w:t>Реквизиты заказчика</w:t>
      </w:r>
    </w:p>
    <w:p w14:paraId="35A5D43C" w14:textId="77777777" w:rsidR="00DC0645" w:rsidRPr="00323D4B" w:rsidRDefault="00DC0645" w:rsidP="00DC0645">
      <w:pPr>
        <w:spacing w:line="240" w:lineRule="auto"/>
        <w:jc w:val="center"/>
        <w:rPr>
          <w:rFonts w:asciiTheme="majorHAnsi" w:hAnsiTheme="majorHAnsi" w:cstheme="majorHAnsi"/>
          <w:b/>
          <w:bCs/>
          <w:color w:val="1F497D" w:themeColor="text2"/>
        </w:rPr>
      </w:pPr>
    </w:p>
    <w:tbl>
      <w:tblPr>
        <w:tblStyle w:val="ad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DC0645" w:rsidRPr="00323D4B" w14:paraId="23CB3FE3" w14:textId="77777777" w:rsidTr="00DC0645">
        <w:trPr>
          <w:trHeight w:val="438"/>
        </w:trPr>
        <w:tc>
          <w:tcPr>
            <w:tcW w:w="3397" w:type="dxa"/>
          </w:tcPr>
          <w:p w14:paraId="2BD2CBAA" w14:textId="7EB2B22F" w:rsidR="00DC0645" w:rsidRPr="00323D4B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230" w:type="dxa"/>
          </w:tcPr>
          <w:p w14:paraId="50DC057C" w14:textId="77777777" w:rsidR="00DC0645" w:rsidRPr="00323D4B" w:rsidRDefault="00DC0645" w:rsidP="00FA63C7">
            <w:pPr>
              <w:rPr>
                <w:rFonts w:asciiTheme="majorHAnsi" w:hAnsiTheme="majorHAnsi" w:cstheme="majorHAnsi"/>
                <w:color w:val="1F497D" w:themeColor="text2"/>
              </w:rPr>
            </w:pPr>
          </w:p>
        </w:tc>
        <w:bookmarkStart w:id="0" w:name="_GoBack"/>
        <w:bookmarkEnd w:id="0"/>
      </w:tr>
      <w:tr w:rsidR="00DC0645" w:rsidRPr="00323D4B" w14:paraId="1F27D309" w14:textId="77777777" w:rsidTr="00DC0645">
        <w:trPr>
          <w:trHeight w:val="416"/>
        </w:trPr>
        <w:tc>
          <w:tcPr>
            <w:tcW w:w="3397" w:type="dxa"/>
          </w:tcPr>
          <w:p w14:paraId="475EB923" w14:textId="4D15C9C7" w:rsidR="00DC0645" w:rsidRPr="00323D4B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</w:tcPr>
          <w:p w14:paraId="17F14D1B" w14:textId="77777777" w:rsidR="00DC0645" w:rsidRPr="00323D4B" w:rsidRDefault="00DC0645" w:rsidP="00FA63C7">
            <w:pPr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DC0645" w:rsidRPr="00323D4B" w14:paraId="6383B569" w14:textId="77777777" w:rsidTr="00DC0645">
        <w:trPr>
          <w:trHeight w:val="408"/>
        </w:trPr>
        <w:tc>
          <w:tcPr>
            <w:tcW w:w="3397" w:type="dxa"/>
          </w:tcPr>
          <w:p w14:paraId="55D7CC05" w14:textId="7F3CC69B" w:rsidR="00DC0645" w:rsidRPr="00323D4B" w:rsidRDefault="00DC0645" w:rsidP="00DC0645">
            <w:pPr>
              <w:rPr>
                <w:rFonts w:asciiTheme="majorHAnsi" w:hAnsiTheme="majorHAnsi" w:cstheme="majorHAnsi"/>
                <w:color w:val="1F497D" w:themeColor="text2"/>
              </w:rPr>
            </w:pPr>
            <w:r w:rsidRPr="00323D4B">
              <w:rPr>
                <w:rFonts w:asciiTheme="majorHAnsi" w:eastAsia="Times" w:hAnsiTheme="majorHAnsi" w:cstheme="majorHAnsi"/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230" w:type="dxa"/>
          </w:tcPr>
          <w:p w14:paraId="52BACE28" w14:textId="77777777" w:rsidR="00DC0645" w:rsidRPr="00323D4B" w:rsidRDefault="00DC0645" w:rsidP="00FA63C7">
            <w:pPr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803FDA5" w14:textId="5686BBBC" w:rsidR="00DC0645" w:rsidRPr="00BC4BDC" w:rsidRDefault="00BC4BDC" w:rsidP="00FA63C7">
      <w:pPr>
        <w:spacing w:line="240" w:lineRule="auto"/>
        <w:rPr>
          <w:rFonts w:asciiTheme="majorHAnsi" w:hAnsiTheme="majorHAnsi" w:cstheme="majorHAnsi"/>
          <w:i/>
          <w:iCs/>
          <w:color w:val="1F497D" w:themeColor="text2"/>
          <w:sz w:val="20"/>
          <w:szCs w:val="20"/>
        </w:rPr>
      </w:pPr>
      <w:r w:rsidRPr="00BC4BDC">
        <w:rPr>
          <w:rFonts w:asciiTheme="majorHAnsi" w:hAnsiTheme="majorHAnsi" w:cstheme="majorHAnsi"/>
          <w:i/>
          <w:iCs/>
          <w:color w:val="1F497D" w:themeColor="text2"/>
          <w:sz w:val="20"/>
          <w:szCs w:val="20"/>
        </w:rPr>
        <w:t>При заполнении опросного листа нужное подчеркнуть, пустые поля заполнить</w:t>
      </w:r>
    </w:p>
    <w:sectPr w:rsidR="00DC0645" w:rsidRPr="00BC4BDC" w:rsidSect="00AA2E9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FAB4" w14:textId="77777777" w:rsidR="002E392A" w:rsidRDefault="002E392A">
      <w:pPr>
        <w:spacing w:line="240" w:lineRule="auto"/>
      </w:pPr>
      <w:r>
        <w:separator/>
      </w:r>
    </w:p>
  </w:endnote>
  <w:endnote w:type="continuationSeparator" w:id="0">
    <w:p w14:paraId="324FCE23" w14:textId="77777777" w:rsidR="002E392A" w:rsidRDefault="002E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7098" w14:textId="77777777" w:rsidR="00C3371B" w:rsidRDefault="00C3371B">
    <w:pPr>
      <w:pStyle w:val="aa"/>
      <w:rPr>
        <w:noProof/>
      </w:rPr>
    </w:pPr>
  </w:p>
  <w:p w14:paraId="0AF663DA" w14:textId="65871577" w:rsidR="008C4F6C" w:rsidRDefault="00C3371B">
    <w:pPr>
      <w:pStyle w:val="aa"/>
    </w:pPr>
    <w:r>
      <w:rPr>
        <w:noProof/>
      </w:rPr>
      <w:drawing>
        <wp:inline distT="0" distB="0" distL="0" distR="0" wp14:anchorId="242EB7EC" wp14:editId="2A0A3B06">
          <wp:extent cx="6765712" cy="521335"/>
          <wp:effectExtent l="0" t="0" r="0" b="0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ЕЗВО-подвал-ПКУ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6" cy="52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BF45" w14:textId="77777777" w:rsidR="002E392A" w:rsidRDefault="002E392A">
      <w:pPr>
        <w:spacing w:line="240" w:lineRule="auto"/>
      </w:pPr>
      <w:r>
        <w:separator/>
      </w:r>
    </w:p>
  </w:footnote>
  <w:footnote w:type="continuationSeparator" w:id="0">
    <w:p w14:paraId="2336EB5E" w14:textId="77777777" w:rsidR="002E392A" w:rsidRDefault="002E3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009D3A2A">
          <wp:extent cx="6810375" cy="638294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52" cy="64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1C78B1"/>
    <w:rsid w:val="002309F7"/>
    <w:rsid w:val="002E392A"/>
    <w:rsid w:val="00323D4B"/>
    <w:rsid w:val="00524933"/>
    <w:rsid w:val="005B2E2F"/>
    <w:rsid w:val="006A0CA6"/>
    <w:rsid w:val="008C4F6C"/>
    <w:rsid w:val="008D4C1C"/>
    <w:rsid w:val="0092551B"/>
    <w:rsid w:val="009506FF"/>
    <w:rsid w:val="0095655B"/>
    <w:rsid w:val="00A773A3"/>
    <w:rsid w:val="00AA2E9F"/>
    <w:rsid w:val="00BC2A87"/>
    <w:rsid w:val="00BC4BDC"/>
    <w:rsid w:val="00C3371B"/>
    <w:rsid w:val="00D354DF"/>
    <w:rsid w:val="00D826A6"/>
    <w:rsid w:val="00DC0645"/>
    <w:rsid w:val="00DC2177"/>
    <w:rsid w:val="00DD30A8"/>
    <w:rsid w:val="00DE0979"/>
    <w:rsid w:val="00E1337B"/>
    <w:rsid w:val="00F04838"/>
    <w:rsid w:val="00F36AEB"/>
    <w:rsid w:val="00F8524D"/>
    <w:rsid w:val="00F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  <w:style w:type="paragraph" w:styleId="ac">
    <w:name w:val="Normal (Web)"/>
    <w:basedOn w:val="a"/>
    <w:uiPriority w:val="99"/>
    <w:semiHidden/>
    <w:unhideWhenUsed/>
    <w:rsid w:val="00D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C06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218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853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234F-5D1B-4E22-9F5D-66008849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3</cp:revision>
  <cp:lastPrinted>2024-12-02T06:20:00Z</cp:lastPrinted>
  <dcterms:created xsi:type="dcterms:W3CDTF">2024-12-02T07:46:00Z</dcterms:created>
  <dcterms:modified xsi:type="dcterms:W3CDTF">2024-12-02T07:48:00Z</dcterms:modified>
</cp:coreProperties>
</file>